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156EE1B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afterLines="5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泰山学院</w:t>
      </w:r>
    </w:p>
    <w:p w14:paraId="5B19FE91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afterLines="50"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****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专业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（*****领域）全日制专业学位</w:t>
      </w:r>
    </w:p>
    <w:p w14:paraId="5FE39F8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afterLines="50"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硕士研究生培养方案</w:t>
      </w:r>
    </w:p>
    <w:p w14:paraId="1B09E155">
      <w:pPr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right="0" w:firstLine="0"/>
        <w:jc w:val="center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专业类别代码：****** 领域代码：******</w:t>
      </w:r>
    </w:p>
    <w:p w14:paraId="48CC8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一、专业简介（黑体，三号）</w:t>
      </w:r>
    </w:p>
    <w:p w14:paraId="4DB334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（着重介绍本专业类别（领域）的专业概况、专业内涵、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专业范围、培养条件及主要特色等）...（仿宋_GB2312，三号，行距固定值 28）</w:t>
      </w:r>
    </w:p>
    <w:p w14:paraId="5659D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二、培养目标（黑体，三号）</w:t>
      </w:r>
    </w:p>
    <w:p w14:paraId="65E72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1....</w:t>
      </w:r>
    </w:p>
    <w:p w14:paraId="61BC6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2....</w:t>
      </w:r>
    </w:p>
    <w:p w14:paraId="6AE51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（参考教育部等有关要求，结合本专业类别（领域）特点填写）...（仿宋_GB2312，三号，行距固定值 28）</w:t>
      </w:r>
    </w:p>
    <w:p w14:paraId="2296B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三、培养方向（黑体，三号）</w:t>
      </w:r>
    </w:p>
    <w:p w14:paraId="527F1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（培养方向的设置要科学、规范、有研究基础，应相对稳定）...（仿宋_GB2312，三号，行距固定值 28）</w:t>
      </w:r>
    </w:p>
    <w:p w14:paraId="18801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四、学习方式与修业年限（黑体，三号）</w:t>
      </w:r>
    </w:p>
    <w:p w14:paraId="4948E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（学习方式为全日制，学制一般为三年）...（仿宋_GB2312，三号，行距固定值 28）</w:t>
      </w:r>
    </w:p>
    <w:p w14:paraId="7272E0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五、培养方式（黑体，三号）</w:t>
      </w:r>
    </w:p>
    <w:p w14:paraId="42D42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（具体参考专业学位全国教育指导委员会的相关要求，并结合本专业特点)...（仿宋_GB2312，三号，行距固定值 28）</w:t>
      </w:r>
    </w:p>
    <w:p w14:paraId="2D612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六、课程设置与学分要求（黑体，三号）</w:t>
      </w:r>
    </w:p>
    <w:p w14:paraId="137F16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（参考教育部对本专业课程设置的相关要求，结合本专业特点合理安排学分和设置课程）...（仿宋_GB2312，三号，行距固定值 28）</w:t>
      </w:r>
    </w:p>
    <w:p w14:paraId="1604A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七、必修环节（黑体，三号）</w:t>
      </w:r>
    </w:p>
    <w:p w14:paraId="598F19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（应包含专业实践、学术活动、文献综述与开题报告等必修环节的相关要求）..（仿宋_GB2312，三号，行距固定值 28）</w:t>
      </w:r>
    </w:p>
    <w:p w14:paraId="3259E5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八、毕业与学位授予要求（黑体，三号）</w:t>
      </w:r>
    </w:p>
    <w:p w14:paraId="2C8B4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31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（应包含中期检查、学位论文及学位授予等培养环节的相关要求）...（仿宋_GB2312，三号，行距固定值 28）</w:t>
      </w:r>
    </w:p>
    <w:p w14:paraId="7DFEA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九、毕业与学位授予（黑体，三号）</w:t>
      </w:r>
    </w:p>
    <w:p w14:paraId="5A24F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（毕业要求等，结合本专业特点填写）..（仿宋_GB2312，三号，行距固定值 28）</w:t>
      </w:r>
    </w:p>
    <w:p w14:paraId="0146B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十、推荐书目（黑体，三号）</w:t>
      </w:r>
    </w:p>
    <w:p w14:paraId="54284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F718B0-F3BC-4CEA-BEE6-87B3CE388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8899A5-5B6F-4871-B768-15EE904D68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486523-AEC0-41E9-B7CC-DD3FA81EBF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4A724C7-430E-402D-A876-43A4779904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14A9"/>
    <w:rsid w:val="17E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2026-03-02T03:53:00Z</dcterms:created>
  <dc:creator>快乐得开心</dc:creator>
  <cp:lastModifiedBy>快乐得开心</cp:lastModifiedBy>
  <dcterms:modified xsi:type="dcterms:W3CDTF">2026-03-02T03:55:59Z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85735B9DFBC6481AA6B09B1D550666AC_11</vt:lpwstr>
  </property>
  <property fmtid="{D5CDD505-2E9C-101B-9397-08002B2CF9AE}" pid="4" name="KSOTemplateDocerSaveRecord">
    <vt:lpwstr>eyJoZGlkIjoiMjc5OGU3MzEwZTM1ZTA3YWQ1NzA5NjUxNWI2MDY0MmYiLCJ1c2VySWQiOiIxNDQ0NDkxMDgxIn0=</vt:lpwstr>
  </property>
</Properties>
</file>